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FE9" w14:textId="77777777" w:rsid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32"/>
          <w:szCs w:val="32"/>
        </w:rPr>
      </w:pPr>
    </w:p>
    <w:p w14:paraId="05788731" w14:textId="77777777" w:rsid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32"/>
          <w:szCs w:val="32"/>
        </w:rPr>
      </w:pPr>
    </w:p>
    <w:p w14:paraId="569CFB37" w14:textId="61A479DB" w:rsidR="005673FD" w:rsidRPr="005673FD" w:rsidRDefault="005673FD" w:rsidP="005673F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pacing w:val="0"/>
          <w:sz w:val="32"/>
          <w:szCs w:val="32"/>
        </w:rPr>
      </w:pPr>
      <w:r w:rsidRPr="005673FD">
        <w:rPr>
          <w:rFonts w:ascii="Calibri" w:hAnsi="Calibri" w:cs="Calibri"/>
          <w:b/>
          <w:bCs/>
          <w:color w:val="000000"/>
          <w:spacing w:val="0"/>
          <w:sz w:val="32"/>
          <w:szCs w:val="32"/>
        </w:rPr>
        <w:t>WUCO Externship Auxiliary Clinical Faculty Benefits</w:t>
      </w:r>
    </w:p>
    <w:p w14:paraId="5F5E6397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5673FD">
        <w:rPr>
          <w:rFonts w:ascii="Calibri" w:hAnsi="Calibri" w:cs="Calibri"/>
          <w:color w:val="000000"/>
          <w:spacing w:val="0"/>
          <w:sz w:val="23"/>
          <w:szCs w:val="23"/>
        </w:rPr>
        <w:t xml:space="preserve">We welcome you as a WUCO faculty member. Your appointment as Auxiliary Clinical Faculty comes with additional benefits. In appreciation for your affiliation, you will be able to enjoy the following: </w:t>
      </w:r>
    </w:p>
    <w:p w14:paraId="431F864D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</w:p>
    <w:p w14:paraId="2B7007C6" w14:textId="77777777" w:rsidR="005673FD" w:rsidRPr="005673FD" w:rsidRDefault="005673FD" w:rsidP="005673FD">
      <w:pPr>
        <w:spacing w:before="240" w:after="60"/>
        <w:outlineLvl w:val="4"/>
        <w:rPr>
          <w:rFonts w:ascii="Calibri" w:eastAsia="Times New Roman" w:hAnsi="Calibri"/>
          <w:b/>
          <w:bCs/>
          <w:i/>
          <w:iCs/>
          <w:sz w:val="26"/>
          <w:szCs w:val="26"/>
        </w:rPr>
      </w:pPr>
      <w:r w:rsidRPr="005673FD">
        <w:rPr>
          <w:rFonts w:ascii="Calibri" w:eastAsia="Times New Roman" w:hAnsi="Calibri"/>
          <w:b/>
          <w:bCs/>
          <w:i/>
          <w:iCs/>
          <w:sz w:val="26"/>
          <w:szCs w:val="26"/>
        </w:rPr>
        <w:t>Preceptor Support</w:t>
      </w:r>
      <w:r w:rsidRPr="005673FD">
        <w:rPr>
          <w:rFonts w:ascii="Calibri" w:eastAsia="Times New Roman" w:hAnsi="Calibri"/>
          <w:b/>
          <w:bCs/>
          <w:i/>
          <w:iCs/>
          <w:spacing w:val="-3"/>
          <w:sz w:val="26"/>
          <w:szCs w:val="26"/>
        </w:rPr>
        <w:t xml:space="preserve"> </w:t>
      </w:r>
      <w:r w:rsidRPr="005673FD">
        <w:rPr>
          <w:rFonts w:ascii="Calibri" w:eastAsia="Times New Roman" w:hAnsi="Calibri"/>
          <w:b/>
          <w:bCs/>
          <w:i/>
          <w:iCs/>
          <w:sz w:val="26"/>
          <w:szCs w:val="26"/>
        </w:rPr>
        <w:t>and Development:</w:t>
      </w:r>
    </w:p>
    <w:p w14:paraId="03E6FB91" w14:textId="77777777" w:rsidR="005673FD" w:rsidRPr="005673FD" w:rsidRDefault="005673FD" w:rsidP="005673FD">
      <w:pPr>
        <w:spacing w:after="120"/>
        <w:ind w:left="459" w:right="143"/>
      </w:pPr>
      <w:r w:rsidRPr="005673FD">
        <w:t>Whether this is your first-time teaching students in a clinical environment, or you come with</w:t>
      </w:r>
      <w:r w:rsidRPr="005673FD">
        <w:rPr>
          <w:spacing w:val="1"/>
        </w:rPr>
        <w:t xml:space="preserve"> </w:t>
      </w:r>
      <w:r w:rsidRPr="005673FD">
        <w:t xml:space="preserve">prior experience, WesternU has compiled </w:t>
      </w:r>
      <w:proofErr w:type="gramStart"/>
      <w:r w:rsidRPr="005673FD">
        <w:t>a number of</w:t>
      </w:r>
      <w:proofErr w:type="gramEnd"/>
      <w:r w:rsidRPr="005673FD">
        <w:t xml:space="preserve"> resources or links to help you to develop</w:t>
      </w:r>
      <w:r w:rsidRPr="005673FD">
        <w:rPr>
          <w:spacing w:val="-52"/>
        </w:rPr>
        <w:t xml:space="preserve"> </w:t>
      </w:r>
      <w:r w:rsidRPr="005673FD">
        <w:t>or improve your clinical teaching skills and strategies. You will find these on our website</w:t>
      </w:r>
      <w:r w:rsidRPr="005673FD">
        <w:rPr>
          <w:spacing w:val="1"/>
        </w:rPr>
        <w:t xml:space="preserve"> </w:t>
      </w:r>
      <w:r w:rsidRPr="005673FD">
        <w:rPr>
          <w:u w:val="single"/>
        </w:rPr>
        <w:t>Preceptor Resources</w:t>
      </w:r>
      <w:r w:rsidRPr="005673FD">
        <w:t xml:space="preserve"> page under “Externship Resources” and under “Preceptor Resources”</w:t>
      </w:r>
      <w:r w:rsidRPr="005673FD">
        <w:rPr>
          <w:spacing w:val="1"/>
        </w:rPr>
        <w:t xml:space="preserve"> </w:t>
      </w:r>
      <w:r w:rsidRPr="005673FD">
        <w:t>using the</w:t>
      </w:r>
      <w:r w:rsidRPr="005673FD">
        <w:rPr>
          <w:spacing w:val="-1"/>
        </w:rPr>
        <w:t xml:space="preserve"> </w:t>
      </w:r>
      <w:r w:rsidRPr="005673FD">
        <w:t>link</w:t>
      </w:r>
      <w:r w:rsidRPr="005673FD">
        <w:rPr>
          <w:spacing w:val="-3"/>
        </w:rPr>
        <w:t xml:space="preserve"> </w:t>
      </w:r>
      <w:r w:rsidRPr="005673FD">
        <w:t>below:</w:t>
      </w:r>
    </w:p>
    <w:p w14:paraId="4F4DABD6" w14:textId="77777777" w:rsidR="005673FD" w:rsidRPr="005673FD" w:rsidRDefault="005673FD" w:rsidP="005673FD">
      <w:pPr>
        <w:autoSpaceDE w:val="0"/>
        <w:autoSpaceDN w:val="0"/>
        <w:adjustRightInd w:val="0"/>
        <w:ind w:firstLine="459"/>
        <w:rPr>
          <w:rFonts w:ascii="Calibri" w:hAnsi="Calibri" w:cs="Calibri"/>
          <w:b/>
          <w:bCs/>
          <w:color w:val="000000"/>
          <w:spacing w:val="0"/>
          <w:sz w:val="28"/>
          <w:szCs w:val="28"/>
        </w:rPr>
      </w:pPr>
      <w:hyperlink r:id="rId11" w:history="1">
        <w:r w:rsidRPr="005673FD">
          <w:rPr>
            <w:color w:val="0563C1"/>
            <w:u w:val="single"/>
          </w:rPr>
          <w:t>https://www.westernu.edu/optometry/preceptor-resources/</w:t>
        </w:r>
      </w:hyperlink>
      <w:r w:rsidRPr="005673FD">
        <w:t xml:space="preserve"> </w:t>
      </w:r>
    </w:p>
    <w:p w14:paraId="71C6197D" w14:textId="7BE70F61" w:rsid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28"/>
          <w:szCs w:val="28"/>
        </w:rPr>
      </w:pPr>
    </w:p>
    <w:p w14:paraId="6D6F4B31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28"/>
          <w:szCs w:val="28"/>
        </w:rPr>
      </w:pPr>
    </w:p>
    <w:p w14:paraId="57CCCE10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8"/>
          <w:szCs w:val="28"/>
        </w:rPr>
      </w:pPr>
      <w:r w:rsidRPr="005673FD">
        <w:rPr>
          <w:rFonts w:ascii="Calibri" w:hAnsi="Calibri" w:cs="Calibri"/>
          <w:b/>
          <w:bCs/>
          <w:color w:val="000000"/>
          <w:spacing w:val="0"/>
          <w:sz w:val="28"/>
          <w:szCs w:val="28"/>
        </w:rPr>
        <w:t xml:space="preserve">Discounted WUCO Continuing Education </w:t>
      </w:r>
    </w:p>
    <w:p w14:paraId="670A2D2D" w14:textId="77777777" w:rsidR="005673FD" w:rsidRPr="005673FD" w:rsidRDefault="005673FD" w:rsidP="005673FD">
      <w:pPr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2"/>
        <w:ind w:left="1180"/>
        <w:rPr>
          <w:rFonts w:ascii="Calibri" w:hAnsi="Calibri" w:cs="Calibri"/>
          <w:spacing w:val="0"/>
          <w:szCs w:val="22"/>
        </w:rPr>
      </w:pPr>
      <w:r w:rsidRPr="005673FD">
        <w:rPr>
          <w:rFonts w:ascii="Calibri" w:hAnsi="Calibri" w:cs="Calibri"/>
          <w:spacing w:val="-1"/>
          <w:szCs w:val="22"/>
        </w:rPr>
        <w:t>2-Hour</w:t>
      </w:r>
      <w:r w:rsidRPr="005673FD">
        <w:rPr>
          <w:rFonts w:ascii="Calibri" w:hAnsi="Calibri" w:cs="Calibri"/>
          <w:spacing w:val="-3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online</w:t>
      </w:r>
      <w:r w:rsidRPr="005673FD">
        <w:rPr>
          <w:rFonts w:ascii="Calibri" w:hAnsi="Calibri" w:cs="Calibri"/>
          <w:spacing w:val="-3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CE courses and above</w:t>
      </w:r>
      <w:r w:rsidRPr="005673FD">
        <w:rPr>
          <w:rFonts w:ascii="Calibri" w:hAnsi="Calibri" w:cs="Calibri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–</w:t>
      </w:r>
      <w:r w:rsidRPr="005673FD">
        <w:rPr>
          <w:rFonts w:ascii="Calibri" w:hAnsi="Calibri" w:cs="Calibri"/>
          <w:spacing w:val="-3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50%</w:t>
      </w:r>
      <w:r w:rsidRPr="005673FD">
        <w:rPr>
          <w:rFonts w:ascii="Calibri" w:hAnsi="Calibri" w:cs="Calibri"/>
          <w:spacing w:val="-5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off, no</w:t>
      </w:r>
      <w:r w:rsidRPr="005673FD">
        <w:rPr>
          <w:rFonts w:ascii="Calibri" w:hAnsi="Calibri" w:cs="Calibri"/>
          <w:spacing w:val="-1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limit</w:t>
      </w:r>
      <w:r w:rsidRPr="005673FD">
        <w:rPr>
          <w:rFonts w:ascii="Calibri" w:hAnsi="Calibri" w:cs="Calibri"/>
          <w:spacing w:val="1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(Use</w:t>
      </w:r>
      <w:r w:rsidRPr="005673FD">
        <w:rPr>
          <w:rFonts w:ascii="Calibri" w:hAnsi="Calibri" w:cs="Calibri"/>
          <w:spacing w:val="-1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code Preceptor50)</w:t>
      </w:r>
    </w:p>
    <w:p w14:paraId="0C7410BC" w14:textId="77777777" w:rsidR="005673FD" w:rsidRPr="005673FD" w:rsidRDefault="005673FD" w:rsidP="005673FD">
      <w:pPr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ind w:right="539"/>
        <w:rPr>
          <w:rFonts w:ascii="Calibri" w:hAnsi="Calibri" w:cs="Calibri"/>
          <w:spacing w:val="0"/>
          <w:szCs w:val="22"/>
        </w:rPr>
      </w:pPr>
      <w:r w:rsidRPr="005673FD">
        <w:rPr>
          <w:rFonts w:ascii="Calibri" w:hAnsi="Calibri" w:cs="Calibri"/>
          <w:spacing w:val="0"/>
          <w:szCs w:val="22"/>
        </w:rPr>
        <w:t xml:space="preserve">General 4-8 hour live on campus CE events – Special registration discounts offered at 25% off </w:t>
      </w:r>
      <w:proofErr w:type="gramStart"/>
      <w:r w:rsidRPr="005673FD">
        <w:rPr>
          <w:rFonts w:ascii="Calibri" w:hAnsi="Calibri" w:cs="Calibri"/>
          <w:spacing w:val="0"/>
          <w:szCs w:val="22"/>
        </w:rPr>
        <w:t xml:space="preserve">or </w:t>
      </w:r>
      <w:r w:rsidRPr="005673FD">
        <w:rPr>
          <w:rFonts w:ascii="Calibri" w:hAnsi="Calibri" w:cs="Calibri"/>
          <w:spacing w:val="-53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more</w:t>
      </w:r>
      <w:proofErr w:type="gramEnd"/>
      <w:r w:rsidRPr="005673FD">
        <w:rPr>
          <w:rFonts w:ascii="Calibri" w:hAnsi="Calibri" w:cs="Calibri"/>
          <w:spacing w:val="0"/>
          <w:szCs w:val="22"/>
        </w:rPr>
        <w:t>;</w:t>
      </w:r>
      <w:r w:rsidRPr="005673FD">
        <w:rPr>
          <w:rFonts w:ascii="Calibri" w:hAnsi="Calibri" w:cs="Calibri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no</w:t>
      </w:r>
      <w:r w:rsidRPr="005673FD">
        <w:rPr>
          <w:rFonts w:ascii="Calibri" w:hAnsi="Calibri" w:cs="Calibri"/>
          <w:spacing w:val="1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codes</w:t>
      </w:r>
      <w:r w:rsidRPr="005673FD">
        <w:rPr>
          <w:rFonts w:ascii="Calibri" w:hAnsi="Calibri" w:cs="Calibri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needed</w:t>
      </w:r>
    </w:p>
    <w:p w14:paraId="5BB2B9A9" w14:textId="77777777" w:rsidR="005673FD" w:rsidRPr="005673FD" w:rsidRDefault="005673FD" w:rsidP="005673FD">
      <w:pPr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ind w:left="1180" w:right="241"/>
        <w:rPr>
          <w:rFonts w:ascii="Calibri" w:hAnsi="Calibri" w:cs="Calibri"/>
          <w:spacing w:val="0"/>
          <w:szCs w:val="22"/>
        </w:rPr>
      </w:pPr>
      <w:r w:rsidRPr="005673FD">
        <w:rPr>
          <w:rFonts w:ascii="Calibri" w:hAnsi="Calibri" w:cs="Calibri"/>
          <w:spacing w:val="0"/>
          <w:szCs w:val="22"/>
        </w:rPr>
        <w:t>OEP course registration hosted by WesternU (limited spots/first come, first serve), Free</w:t>
      </w:r>
      <w:r w:rsidRPr="005673FD">
        <w:rPr>
          <w:rFonts w:ascii="Calibri" w:hAnsi="Calibri" w:cs="Calibri"/>
          <w:spacing w:val="-52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multiple</w:t>
      </w:r>
      <w:r w:rsidRPr="005673FD">
        <w:rPr>
          <w:rFonts w:ascii="Calibri" w:hAnsi="Calibri" w:cs="Calibri"/>
          <w:spacing w:val="-3"/>
          <w:szCs w:val="22"/>
        </w:rPr>
        <w:t xml:space="preserve"> </w:t>
      </w:r>
      <w:r w:rsidRPr="005673FD">
        <w:rPr>
          <w:rFonts w:ascii="Calibri" w:hAnsi="Calibri" w:cs="Calibri"/>
          <w:spacing w:val="0"/>
          <w:szCs w:val="22"/>
        </w:rPr>
        <w:t>day course.</w:t>
      </w:r>
    </w:p>
    <w:p w14:paraId="72897F87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28"/>
          <w:szCs w:val="28"/>
        </w:rPr>
      </w:pPr>
    </w:p>
    <w:p w14:paraId="73C24DBF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0"/>
          <w:sz w:val="28"/>
          <w:szCs w:val="28"/>
        </w:rPr>
      </w:pPr>
    </w:p>
    <w:p w14:paraId="1588B54F" w14:textId="77777777" w:rsidR="005673FD" w:rsidRPr="005673FD" w:rsidRDefault="005673FD" w:rsidP="005673FD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8"/>
          <w:szCs w:val="28"/>
        </w:rPr>
      </w:pPr>
      <w:r w:rsidRPr="005673FD">
        <w:rPr>
          <w:rFonts w:ascii="Calibri" w:hAnsi="Calibri" w:cs="Calibri"/>
          <w:b/>
          <w:bCs/>
          <w:color w:val="000000"/>
          <w:spacing w:val="0"/>
          <w:sz w:val="28"/>
          <w:szCs w:val="28"/>
        </w:rPr>
        <w:t xml:space="preserve">Access to Western University Library Resources </w:t>
      </w:r>
    </w:p>
    <w:p w14:paraId="38A065ED" w14:textId="77777777" w:rsidR="005673FD" w:rsidRPr="005673FD" w:rsidRDefault="005673FD" w:rsidP="005673FD">
      <w:pPr>
        <w:ind w:left="720"/>
      </w:pPr>
      <w:r w:rsidRPr="005673FD">
        <w:rPr>
          <w:sz w:val="23"/>
          <w:szCs w:val="23"/>
        </w:rPr>
        <w:t xml:space="preserve">Once you have completed your first student rotation, you may apply for an appointment to </w:t>
      </w:r>
      <w:r w:rsidRPr="005673FD">
        <w:rPr>
          <w:b/>
          <w:bCs/>
          <w:sz w:val="23"/>
          <w:szCs w:val="23"/>
        </w:rPr>
        <w:t xml:space="preserve">Clinical Faculty </w:t>
      </w:r>
      <w:r w:rsidRPr="005673FD">
        <w:rPr>
          <w:sz w:val="23"/>
          <w:szCs w:val="23"/>
        </w:rPr>
        <w:t xml:space="preserve">with Western University of Health Sciences. Simply notify the Assistant Director of Clinical Education Programs (Kelee Pleticha-Visconti at </w:t>
      </w:r>
      <w:proofErr w:type="gramStart"/>
      <w:r w:rsidRPr="005673FD">
        <w:rPr>
          <w:color w:val="0000FF"/>
          <w:sz w:val="23"/>
          <w:szCs w:val="23"/>
        </w:rPr>
        <w:t xml:space="preserve">kpvisconti@westernu.edu </w:t>
      </w:r>
      <w:r w:rsidRPr="005673FD">
        <w:rPr>
          <w:sz w:val="23"/>
          <w:szCs w:val="23"/>
        </w:rPr>
        <w:t>)</w:t>
      </w:r>
      <w:proofErr w:type="gramEnd"/>
      <w:r w:rsidRPr="005673FD">
        <w:rPr>
          <w:sz w:val="23"/>
          <w:szCs w:val="23"/>
        </w:rPr>
        <w:t xml:space="preserve"> and send her a copy of your CV. You will be notified when the appointment is complete, and we will provide you with information on all the in-house and online resources to which you will have access.</w:t>
      </w:r>
    </w:p>
    <w:p w14:paraId="27538ED5" w14:textId="77777777" w:rsidR="00C4307E" w:rsidRDefault="00C4307E" w:rsidP="009770FD">
      <w:pPr>
        <w:jc w:val="center"/>
      </w:pPr>
    </w:p>
    <w:p w14:paraId="4B9B3993" w14:textId="77777777" w:rsidR="00D47135" w:rsidRDefault="00D47135" w:rsidP="009770FD">
      <w:pPr>
        <w:jc w:val="center"/>
      </w:pPr>
    </w:p>
    <w:p w14:paraId="1CFC9F16" w14:textId="77777777" w:rsidR="00D47135" w:rsidRDefault="00D47135" w:rsidP="009770FD">
      <w:pPr>
        <w:jc w:val="center"/>
      </w:pPr>
    </w:p>
    <w:sectPr w:rsidR="00D47135" w:rsidSect="00D47135">
      <w:headerReference w:type="default" r:id="rId12"/>
      <w:footerReference w:type="default" r:id="rId13"/>
      <w:pgSz w:w="12240" w:h="15840"/>
      <w:pgMar w:top="1500" w:right="3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8665" w14:textId="77777777" w:rsidR="005D2DF9" w:rsidRDefault="005D2DF9" w:rsidP="009770FD">
      <w:r>
        <w:separator/>
      </w:r>
    </w:p>
  </w:endnote>
  <w:endnote w:type="continuationSeparator" w:id="0">
    <w:p w14:paraId="4355CDD7" w14:textId="77777777" w:rsidR="005D2DF9" w:rsidRDefault="005D2DF9" w:rsidP="009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FFD7" w14:textId="77777777" w:rsidR="009770FD" w:rsidRPr="009770FD" w:rsidRDefault="00C4307E" w:rsidP="009770F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Western University of Health Sciences 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 College of Optometry 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 </w:t>
    </w:r>
    <w:r w:rsidR="009770FD" w:rsidRPr="009770FD">
      <w:rPr>
        <w:sz w:val="16"/>
        <w:szCs w:val="16"/>
      </w:rPr>
      <w:t xml:space="preserve">309 E. Second Street, Pomona, CA  91766 </w:t>
    </w:r>
    <w:r w:rsidR="009770FD">
      <w:rPr>
        <w:sz w:val="16"/>
        <w:szCs w:val="16"/>
      </w:rPr>
      <w:t xml:space="preserve"> </w:t>
    </w:r>
    <w:r w:rsidR="009770FD" w:rsidRPr="009770FD">
      <w:rPr>
        <w:sz w:val="16"/>
        <w:szCs w:val="16"/>
      </w:rPr>
      <w:sym w:font="Wingdings" w:char="F09F"/>
    </w:r>
    <w:r w:rsidR="009770FD" w:rsidRPr="009770FD">
      <w:rPr>
        <w:sz w:val="16"/>
        <w:szCs w:val="16"/>
      </w:rPr>
      <w:t xml:space="preserve"> </w:t>
    </w:r>
    <w:r w:rsidR="009770FD">
      <w:rPr>
        <w:sz w:val="16"/>
        <w:szCs w:val="16"/>
      </w:rPr>
      <w:t xml:space="preserve"> </w:t>
    </w:r>
    <w:r w:rsidR="0057284C">
      <w:rPr>
        <w:sz w:val="16"/>
        <w:szCs w:val="16"/>
      </w:rPr>
      <w:t>909-706-3939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18A7" w14:textId="77777777" w:rsidR="005D2DF9" w:rsidRDefault="005D2DF9" w:rsidP="009770FD">
      <w:r>
        <w:separator/>
      </w:r>
    </w:p>
  </w:footnote>
  <w:footnote w:type="continuationSeparator" w:id="0">
    <w:p w14:paraId="2FE12EDC" w14:textId="77777777" w:rsidR="005D2DF9" w:rsidRDefault="005D2DF9" w:rsidP="0097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77CA" w14:textId="77777777" w:rsidR="00C4307E" w:rsidRDefault="0057284C" w:rsidP="00C4307E">
    <w:pPr>
      <w:pStyle w:val="Header"/>
      <w:jc w:val="center"/>
    </w:pPr>
    <w:r w:rsidRPr="008A7E6B">
      <w:rPr>
        <w:noProof/>
      </w:rPr>
      <w:pict w14:anchorId="65A65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O logo horz 2-08.jpg" style="width:128.4pt;height:60pt;visibility:visible">
          <v:imagedata r:id="rId1" o:title="CO logo horz 2-0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70"/>
    <w:multiLevelType w:val="hybridMultilevel"/>
    <w:tmpl w:val="1B90BA60"/>
    <w:lvl w:ilvl="0" w:tplc="8E909BBC">
      <w:start w:val="1"/>
      <w:numFmt w:val="decimal"/>
      <w:lvlText w:val="%1."/>
      <w:lvlJc w:val="left"/>
      <w:pPr>
        <w:ind w:left="117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5B4D184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2" w:tplc="2DA0A59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DC902D30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03ECB78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821AB4F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6" w:tplc="18DADE76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EE70DF50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BA0ACA2C"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96F72"/>
    <w:multiLevelType w:val="hybridMultilevel"/>
    <w:tmpl w:val="5C5800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9608E"/>
    <w:multiLevelType w:val="hybridMultilevel"/>
    <w:tmpl w:val="2ED4DC3C"/>
    <w:lvl w:ilvl="0" w:tplc="4EB297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668D6"/>
    <w:multiLevelType w:val="hybridMultilevel"/>
    <w:tmpl w:val="44F03498"/>
    <w:lvl w:ilvl="0" w:tplc="1EBEA3EE">
      <w:numFmt w:val="bullet"/>
      <w:lvlText w:val="•"/>
      <w:lvlJc w:val="left"/>
      <w:pPr>
        <w:ind w:left="169" w:hanging="720"/>
      </w:pPr>
      <w:rPr>
        <w:rFonts w:ascii="Arial" w:eastAsia="Arial" w:hAnsi="Arial" w:cs="Arial" w:hint="default"/>
        <w:w w:val="99"/>
        <w:sz w:val="22"/>
        <w:szCs w:val="22"/>
      </w:rPr>
    </w:lvl>
    <w:lvl w:ilvl="1" w:tplc="81648046">
      <w:numFmt w:val="bullet"/>
      <w:lvlText w:val="•"/>
      <w:lvlJc w:val="left"/>
      <w:pPr>
        <w:ind w:left="2560" w:hanging="720"/>
      </w:pPr>
      <w:rPr>
        <w:rFonts w:hint="default"/>
      </w:rPr>
    </w:lvl>
    <w:lvl w:ilvl="2" w:tplc="9C62C988">
      <w:numFmt w:val="bullet"/>
      <w:lvlText w:val="•"/>
      <w:lvlJc w:val="left"/>
      <w:pPr>
        <w:ind w:left="3506" w:hanging="720"/>
      </w:pPr>
      <w:rPr>
        <w:rFonts w:hint="default"/>
      </w:rPr>
    </w:lvl>
    <w:lvl w:ilvl="3" w:tplc="F4A27A8C">
      <w:numFmt w:val="bullet"/>
      <w:lvlText w:val="•"/>
      <w:lvlJc w:val="left"/>
      <w:pPr>
        <w:ind w:left="4453" w:hanging="720"/>
      </w:pPr>
      <w:rPr>
        <w:rFonts w:hint="default"/>
      </w:rPr>
    </w:lvl>
    <w:lvl w:ilvl="4" w:tplc="A8F2E54E">
      <w:numFmt w:val="bullet"/>
      <w:lvlText w:val="•"/>
      <w:lvlJc w:val="left"/>
      <w:pPr>
        <w:ind w:left="5400" w:hanging="720"/>
      </w:pPr>
      <w:rPr>
        <w:rFonts w:hint="default"/>
      </w:rPr>
    </w:lvl>
    <w:lvl w:ilvl="5" w:tplc="7E3C46AE">
      <w:numFmt w:val="bullet"/>
      <w:lvlText w:val="•"/>
      <w:lvlJc w:val="left"/>
      <w:pPr>
        <w:ind w:left="6346" w:hanging="720"/>
      </w:pPr>
      <w:rPr>
        <w:rFonts w:hint="default"/>
      </w:rPr>
    </w:lvl>
    <w:lvl w:ilvl="6" w:tplc="F00A45FE">
      <w:numFmt w:val="bullet"/>
      <w:lvlText w:val="•"/>
      <w:lvlJc w:val="left"/>
      <w:pPr>
        <w:ind w:left="7293" w:hanging="720"/>
      </w:pPr>
      <w:rPr>
        <w:rFonts w:hint="default"/>
      </w:rPr>
    </w:lvl>
    <w:lvl w:ilvl="7" w:tplc="86F8723E">
      <w:numFmt w:val="bullet"/>
      <w:lvlText w:val="•"/>
      <w:lvlJc w:val="left"/>
      <w:pPr>
        <w:ind w:left="8240" w:hanging="720"/>
      </w:pPr>
      <w:rPr>
        <w:rFonts w:hint="default"/>
      </w:rPr>
    </w:lvl>
    <w:lvl w:ilvl="8" w:tplc="2BBC4886">
      <w:numFmt w:val="bullet"/>
      <w:lvlText w:val="•"/>
      <w:lvlJc w:val="left"/>
      <w:pPr>
        <w:ind w:left="9186" w:hanging="720"/>
      </w:pPr>
      <w:rPr>
        <w:rFonts w:hint="default"/>
      </w:rPr>
    </w:lvl>
  </w:abstractNum>
  <w:abstractNum w:abstractNumId="4" w15:restartNumberingAfterBreak="0">
    <w:nsid w:val="4F2C0496"/>
    <w:multiLevelType w:val="hybridMultilevel"/>
    <w:tmpl w:val="53681BA8"/>
    <w:lvl w:ilvl="0" w:tplc="84B0CFEE">
      <w:numFmt w:val="bullet"/>
      <w:lvlText w:val="•"/>
      <w:lvlJc w:val="left"/>
      <w:pPr>
        <w:ind w:left="1345" w:hanging="720"/>
      </w:pPr>
      <w:rPr>
        <w:rFonts w:ascii="Arial" w:eastAsia="Arial" w:hAnsi="Arial" w:cs="Arial" w:hint="default"/>
        <w:w w:val="99"/>
        <w:sz w:val="22"/>
        <w:szCs w:val="22"/>
      </w:rPr>
    </w:lvl>
    <w:lvl w:ilvl="1" w:tplc="95D459BE">
      <w:numFmt w:val="bullet"/>
      <w:lvlText w:val="o"/>
      <w:lvlJc w:val="left"/>
      <w:pPr>
        <w:ind w:left="2188" w:hanging="720"/>
      </w:pPr>
      <w:rPr>
        <w:rFonts w:ascii="Arial" w:eastAsia="Arial" w:hAnsi="Arial" w:cs="Arial" w:hint="default"/>
        <w:w w:val="99"/>
        <w:sz w:val="22"/>
        <w:szCs w:val="22"/>
      </w:rPr>
    </w:lvl>
    <w:lvl w:ilvl="2" w:tplc="4F5AAA6A">
      <w:numFmt w:val="bullet"/>
      <w:lvlText w:val="•"/>
      <w:lvlJc w:val="left"/>
      <w:pPr>
        <w:ind w:left="3168" w:hanging="720"/>
      </w:pPr>
      <w:rPr>
        <w:rFonts w:hint="default"/>
      </w:rPr>
    </w:lvl>
    <w:lvl w:ilvl="3" w:tplc="377604F6">
      <w:numFmt w:val="bullet"/>
      <w:lvlText w:val="•"/>
      <w:lvlJc w:val="left"/>
      <w:pPr>
        <w:ind w:left="4157" w:hanging="720"/>
      </w:pPr>
      <w:rPr>
        <w:rFonts w:hint="default"/>
      </w:rPr>
    </w:lvl>
    <w:lvl w:ilvl="4" w:tplc="C6DA5390">
      <w:numFmt w:val="bullet"/>
      <w:lvlText w:val="•"/>
      <w:lvlJc w:val="left"/>
      <w:pPr>
        <w:ind w:left="5146" w:hanging="720"/>
      </w:pPr>
      <w:rPr>
        <w:rFonts w:hint="default"/>
      </w:rPr>
    </w:lvl>
    <w:lvl w:ilvl="5" w:tplc="357EA168">
      <w:numFmt w:val="bullet"/>
      <w:lvlText w:val="•"/>
      <w:lvlJc w:val="left"/>
      <w:pPr>
        <w:ind w:left="6135" w:hanging="720"/>
      </w:pPr>
      <w:rPr>
        <w:rFonts w:hint="default"/>
      </w:rPr>
    </w:lvl>
    <w:lvl w:ilvl="6" w:tplc="AB4E52C8">
      <w:numFmt w:val="bullet"/>
      <w:lvlText w:val="•"/>
      <w:lvlJc w:val="left"/>
      <w:pPr>
        <w:ind w:left="7124" w:hanging="720"/>
      </w:pPr>
      <w:rPr>
        <w:rFonts w:hint="default"/>
      </w:rPr>
    </w:lvl>
    <w:lvl w:ilvl="7" w:tplc="51AA571A">
      <w:numFmt w:val="bullet"/>
      <w:lvlText w:val="•"/>
      <w:lvlJc w:val="left"/>
      <w:pPr>
        <w:ind w:left="8113" w:hanging="720"/>
      </w:pPr>
      <w:rPr>
        <w:rFonts w:hint="default"/>
      </w:rPr>
    </w:lvl>
    <w:lvl w:ilvl="8" w:tplc="E4A4131E">
      <w:numFmt w:val="bullet"/>
      <w:lvlText w:val="•"/>
      <w:lvlJc w:val="left"/>
      <w:pPr>
        <w:ind w:left="9102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0FD"/>
    <w:rsid w:val="00077AEA"/>
    <w:rsid w:val="000D599D"/>
    <w:rsid w:val="00141DC4"/>
    <w:rsid w:val="001B424D"/>
    <w:rsid w:val="001C1EAD"/>
    <w:rsid w:val="001E315B"/>
    <w:rsid w:val="00275404"/>
    <w:rsid w:val="00297263"/>
    <w:rsid w:val="003074AF"/>
    <w:rsid w:val="00344E82"/>
    <w:rsid w:val="003527AF"/>
    <w:rsid w:val="003A64EB"/>
    <w:rsid w:val="003B7754"/>
    <w:rsid w:val="00422108"/>
    <w:rsid w:val="00423A04"/>
    <w:rsid w:val="00481FCF"/>
    <w:rsid w:val="004D6475"/>
    <w:rsid w:val="005673FD"/>
    <w:rsid w:val="0057284C"/>
    <w:rsid w:val="005A2FB8"/>
    <w:rsid w:val="005B7174"/>
    <w:rsid w:val="005D2DF9"/>
    <w:rsid w:val="005F5F9B"/>
    <w:rsid w:val="006172D6"/>
    <w:rsid w:val="00832814"/>
    <w:rsid w:val="00875C32"/>
    <w:rsid w:val="009429CA"/>
    <w:rsid w:val="00962FB4"/>
    <w:rsid w:val="009770FD"/>
    <w:rsid w:val="009970E3"/>
    <w:rsid w:val="009C55BA"/>
    <w:rsid w:val="00B9371C"/>
    <w:rsid w:val="00C0792C"/>
    <w:rsid w:val="00C4307E"/>
    <w:rsid w:val="00C5370E"/>
    <w:rsid w:val="00CA625A"/>
    <w:rsid w:val="00CC5332"/>
    <w:rsid w:val="00D34853"/>
    <w:rsid w:val="00D47135"/>
    <w:rsid w:val="00D5251B"/>
    <w:rsid w:val="00DF3AF0"/>
    <w:rsid w:val="00E3269B"/>
    <w:rsid w:val="00E65B87"/>
    <w:rsid w:val="00E90229"/>
    <w:rsid w:val="00EC7FBA"/>
    <w:rsid w:val="00ED5AA7"/>
    <w:rsid w:val="00F050BA"/>
    <w:rsid w:val="00F2257B"/>
    <w:rsid w:val="00F678D7"/>
    <w:rsid w:val="00F811CE"/>
    <w:rsid w:val="00FD79F7"/>
    <w:rsid w:val="00FE1E05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EAD2F6"/>
  <w15:chartTrackingRefBased/>
  <w15:docId w15:val="{EE96A1D0-71A1-47E8-8FF9-131DC9A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5B"/>
    <w:rPr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13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7AEA"/>
    <w:pPr>
      <w:keepNext/>
      <w:jc w:val="center"/>
      <w:outlineLvl w:val="1"/>
    </w:pPr>
    <w:rPr>
      <w:rFonts w:ascii="Courier New" w:eastAsia="Times New Roman" w:hAnsi="Courier New"/>
      <w:b/>
      <w:spacing w:val="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13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7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0FD"/>
  </w:style>
  <w:style w:type="paragraph" w:styleId="Footer">
    <w:name w:val="footer"/>
    <w:basedOn w:val="Normal"/>
    <w:link w:val="FooterChar"/>
    <w:uiPriority w:val="99"/>
    <w:unhideWhenUsed/>
    <w:rsid w:val="00977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0FD"/>
  </w:style>
  <w:style w:type="character" w:styleId="PageNumber">
    <w:name w:val="page number"/>
    <w:rsid w:val="00E65B87"/>
  </w:style>
  <w:style w:type="table" w:styleId="TableGrid">
    <w:name w:val="Table Grid"/>
    <w:basedOn w:val="TableNormal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44E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77AEA"/>
    <w:rPr>
      <w:rFonts w:ascii="Courier New" w:eastAsia="Times New Roman" w:hAnsi="Courier New"/>
      <w:b/>
      <w:sz w:val="24"/>
    </w:rPr>
  </w:style>
  <w:style w:type="paragraph" w:styleId="BodyText2">
    <w:name w:val="Body Text 2"/>
    <w:basedOn w:val="Normal"/>
    <w:link w:val="BodyText2Char"/>
    <w:rsid w:val="00077AEA"/>
    <w:pPr>
      <w:tabs>
        <w:tab w:val="left" w:pos="360"/>
      </w:tabs>
      <w:suppressAutoHyphens/>
      <w:jc w:val="both"/>
    </w:pPr>
    <w:rPr>
      <w:rFonts w:ascii="Times New Roman" w:eastAsia="Times New Roman" w:hAnsi="Times New Roman"/>
      <w:b/>
      <w:color w:val="0000FF"/>
      <w:szCs w:val="20"/>
    </w:rPr>
  </w:style>
  <w:style w:type="character" w:customStyle="1" w:styleId="BodyText2Char">
    <w:name w:val="Body Text 2 Char"/>
    <w:link w:val="BodyText2"/>
    <w:rsid w:val="00077AEA"/>
    <w:rPr>
      <w:rFonts w:ascii="Times New Roman" w:eastAsia="Times New Roman" w:hAnsi="Times New Roman"/>
      <w:b/>
      <w:color w:val="0000FF"/>
      <w:spacing w:val="-2"/>
      <w:sz w:val="24"/>
    </w:rPr>
  </w:style>
  <w:style w:type="paragraph" w:customStyle="1" w:styleId="p2">
    <w:name w:val="p2"/>
    <w:basedOn w:val="Normal"/>
    <w:rsid w:val="00077AEA"/>
    <w:pPr>
      <w:widowControl w:val="0"/>
      <w:tabs>
        <w:tab w:val="left" w:pos="2360"/>
      </w:tabs>
      <w:spacing w:line="220" w:lineRule="atLeast"/>
      <w:ind w:left="864" w:hanging="2304"/>
    </w:pPr>
    <w:rPr>
      <w:rFonts w:ascii="Times New Roman" w:eastAsia="Times New Roman" w:hAnsi="Times New Roman"/>
      <w:spacing w:val="0"/>
      <w:szCs w:val="20"/>
    </w:rPr>
  </w:style>
  <w:style w:type="paragraph" w:styleId="NormalWeb">
    <w:name w:val="Normal (Web)"/>
    <w:basedOn w:val="Normal"/>
    <w:rsid w:val="00077AEA"/>
    <w:pPr>
      <w:spacing w:before="100" w:beforeAutospacing="1" w:after="100" w:afterAutospacing="1"/>
    </w:pPr>
    <w:rPr>
      <w:rFonts w:ascii="Times New Roman" w:eastAsia="Times New Roman" w:hAnsi="Times New Roman"/>
      <w:spacing w:val="0"/>
    </w:rPr>
  </w:style>
  <w:style w:type="paragraph" w:styleId="CommentText">
    <w:name w:val="annotation text"/>
    <w:basedOn w:val="Normal"/>
    <w:link w:val="CommentTextChar"/>
    <w:uiPriority w:val="99"/>
    <w:rsid w:val="00077AEA"/>
    <w:rPr>
      <w:rFonts w:ascii="Times New Roman" w:eastAsia="Times New Roman" w:hAnsi="Times New Roman"/>
      <w:spacing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77AE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875C32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D47135"/>
    <w:rPr>
      <w:rFonts w:ascii="Calibri Light" w:eastAsia="Times New Roman" w:hAnsi="Calibri Light" w:cs="Times New Roman"/>
      <w:b/>
      <w:bCs/>
      <w:spacing w:val="-2"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47135"/>
    <w:rPr>
      <w:rFonts w:ascii="Calibri Light" w:eastAsia="Times New Roman" w:hAnsi="Calibri Light" w:cs="Times New Roman"/>
      <w:b/>
      <w:bCs/>
      <w:spacing w:val="-2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13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135"/>
    <w:rPr>
      <w:spacing w:val="-2"/>
      <w:sz w:val="24"/>
      <w:szCs w:val="24"/>
    </w:rPr>
  </w:style>
  <w:style w:type="paragraph" w:styleId="ListParagraph">
    <w:name w:val="List Paragraph"/>
    <w:basedOn w:val="Normal"/>
    <w:uiPriority w:val="1"/>
    <w:qFormat/>
    <w:rsid w:val="00D47135"/>
    <w:pPr>
      <w:widowControl w:val="0"/>
      <w:autoSpaceDE w:val="0"/>
      <w:autoSpaceDN w:val="0"/>
      <w:spacing w:before="10"/>
      <w:ind w:left="1345" w:hanging="721"/>
    </w:pPr>
    <w:rPr>
      <w:rFonts w:ascii="Arial" w:eastAsia="Arial" w:hAnsi="Arial" w:cs="Arial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ernu.edu/optometry/preceptor-resourc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08A92B3796D43991D191A6A7A9E09" ma:contentTypeVersion="10" ma:contentTypeDescription="Create a new document." ma:contentTypeScope="" ma:versionID="ef591b91fe591541978a54ff8b990123">
  <xsd:schema xmlns:xsd="http://www.w3.org/2001/XMLSchema" xmlns:xs="http://www.w3.org/2001/XMLSchema" xmlns:p="http://schemas.microsoft.com/office/2006/metadata/properties" xmlns:ns1="http://schemas.microsoft.com/sharepoint/v3" xmlns:ns3="b8fb0223-3f72-4f95-b1b9-b60efe6be0b4" targetNamespace="http://schemas.microsoft.com/office/2006/metadata/properties" ma:root="true" ma:fieldsID="b69f47cb4933f5b97fa74c1f3634b9af" ns1:_="" ns3:_="">
    <xsd:import namespace="http://schemas.microsoft.com/sharepoint/v3"/>
    <xsd:import namespace="b8fb0223-3f72-4f95-b1b9-b60efe6be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0223-3f72-4f95-b1b9-b60efe6be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6311D-CF19-442D-8010-A9253B8F3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E9A2F-B0D8-401F-BB6E-0951B2C16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007A6-0A7E-4CD7-8EA9-186F1417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b0223-3f72-4f95-b1b9-b60efe6be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DC49C-0DB0-46FA-95C2-99352CBDC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WesternU Faculty and Staff</dc:creator>
  <cp:keywords/>
  <cp:lastModifiedBy>Kelee Pleticha-Visconti</cp:lastModifiedBy>
  <cp:revision>2</cp:revision>
  <cp:lastPrinted>2017-03-14T14:42:00Z</cp:lastPrinted>
  <dcterms:created xsi:type="dcterms:W3CDTF">2021-04-27T17:43:00Z</dcterms:created>
  <dcterms:modified xsi:type="dcterms:W3CDTF">2021-04-27T17:43:00Z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0x01010091F08A92B3796D43991D191A6A7A9E09</vt:lpwstr>
  </property>
</Properties>
</file>